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7E" w:rsidRDefault="006E067E"/>
    <w:tbl>
      <w:tblPr>
        <w:tblW w:w="10065" w:type="dxa"/>
        <w:tblCellSpacing w:w="0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7775C1" w:rsidRPr="007775C1" w:rsidTr="009054F8">
        <w:trPr>
          <w:tblCellSpacing w:w="0" w:type="dxa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F9" w:rsidRPr="004536C6" w:rsidRDefault="0026108F" w:rsidP="0026108F">
            <w:pPr>
              <w:pStyle w:val="a3"/>
              <w:jc w:val="center"/>
              <w:rPr>
                <w:sz w:val="24"/>
                <w:szCs w:val="24"/>
              </w:rPr>
            </w:pPr>
            <w:r w:rsidRPr="004536C6">
              <w:rPr>
                <w:sz w:val="24"/>
                <w:szCs w:val="24"/>
              </w:rPr>
              <w:t>МУНИЦИПАЛЬНОЕ ОБРАЗОВАНИЕ</w:t>
            </w:r>
          </w:p>
          <w:p w:rsidR="006E067E" w:rsidRDefault="007D7192" w:rsidP="006E067E">
            <w:pPr>
              <w:ind w:left="567"/>
              <w:jc w:val="center"/>
              <w:rPr>
                <w:sz w:val="24"/>
                <w:szCs w:val="24"/>
              </w:rPr>
            </w:pPr>
            <w:r w:rsidRPr="004536C6">
              <w:rPr>
                <w:sz w:val="24"/>
                <w:szCs w:val="24"/>
              </w:rPr>
              <w:t>КИНДАЛЬСКОЕ СЕЛЬ</w:t>
            </w:r>
            <w:r w:rsidR="0026108F" w:rsidRPr="004536C6">
              <w:rPr>
                <w:sz w:val="24"/>
                <w:szCs w:val="24"/>
              </w:rPr>
              <w:t>СКОЕ ПОСЕЛЕНИЕ</w:t>
            </w:r>
            <w:r w:rsidR="0026108F" w:rsidRPr="004536C6">
              <w:rPr>
                <w:sz w:val="24"/>
                <w:szCs w:val="24"/>
              </w:rPr>
              <w:br/>
              <w:t>КАРГАСОКСКОГО РАЙОНА  ТОМСКОЙ ОБЛАСТИ</w:t>
            </w:r>
          </w:p>
          <w:p w:rsidR="0026108F" w:rsidRPr="004536C6" w:rsidRDefault="0026108F" w:rsidP="006E067E">
            <w:pPr>
              <w:ind w:left="567"/>
              <w:jc w:val="center"/>
              <w:rPr>
                <w:sz w:val="24"/>
                <w:szCs w:val="24"/>
              </w:rPr>
            </w:pPr>
            <w:r w:rsidRPr="004536C6">
              <w:rPr>
                <w:sz w:val="24"/>
                <w:szCs w:val="24"/>
              </w:rPr>
              <w:br/>
              <w:t xml:space="preserve">МУНИЦИПАЛЬНОЕ КАЗЁННОЕ УЧРЕЖДЕНИЕ </w:t>
            </w:r>
            <w:r w:rsidRPr="004536C6">
              <w:rPr>
                <w:sz w:val="24"/>
                <w:szCs w:val="24"/>
              </w:rPr>
              <w:br/>
              <w:t>«АДМИНИСТРАЦИЯ КИНДАЛЬСКОГО СЕЛЬСКОГО ПОСЕЛЕНИЯ»</w:t>
            </w:r>
          </w:p>
          <w:p w:rsidR="00CD58F9" w:rsidRPr="004536C6" w:rsidRDefault="00CD58F9" w:rsidP="00447E7A">
            <w:pPr>
              <w:ind w:left="567"/>
              <w:jc w:val="center"/>
              <w:rPr>
                <w:sz w:val="24"/>
                <w:szCs w:val="24"/>
              </w:rPr>
            </w:pPr>
            <w:r w:rsidRPr="004536C6">
              <w:rPr>
                <w:sz w:val="24"/>
                <w:szCs w:val="24"/>
              </w:rPr>
              <w:t>ПОСТАНОВЛЕНИЕ</w:t>
            </w:r>
          </w:p>
          <w:p w:rsidR="00CD58F9" w:rsidRPr="004536C6" w:rsidRDefault="007D7192" w:rsidP="00447E7A">
            <w:pPr>
              <w:ind w:left="992"/>
              <w:jc w:val="center"/>
              <w:rPr>
                <w:sz w:val="24"/>
                <w:szCs w:val="24"/>
              </w:rPr>
            </w:pPr>
            <w:r w:rsidRPr="004536C6">
              <w:rPr>
                <w:sz w:val="24"/>
                <w:szCs w:val="24"/>
              </w:rPr>
              <w:t>10</w:t>
            </w:r>
            <w:r w:rsidR="00CD58F9" w:rsidRPr="004536C6">
              <w:rPr>
                <w:sz w:val="24"/>
                <w:szCs w:val="24"/>
              </w:rPr>
              <w:t xml:space="preserve">.02.2014г                                                                                             </w:t>
            </w:r>
            <w:r w:rsidRPr="004536C6">
              <w:rPr>
                <w:sz w:val="24"/>
                <w:szCs w:val="24"/>
              </w:rPr>
              <w:t xml:space="preserve">            </w:t>
            </w:r>
            <w:r w:rsidR="00CD58F9" w:rsidRPr="004536C6">
              <w:rPr>
                <w:sz w:val="24"/>
                <w:szCs w:val="24"/>
              </w:rPr>
              <w:t xml:space="preserve"> №</w:t>
            </w:r>
            <w:r w:rsidR="006E067E">
              <w:rPr>
                <w:sz w:val="24"/>
                <w:szCs w:val="24"/>
              </w:rPr>
              <w:t xml:space="preserve"> </w:t>
            </w:r>
            <w:r w:rsidRPr="004536C6">
              <w:rPr>
                <w:sz w:val="24"/>
                <w:szCs w:val="24"/>
              </w:rPr>
              <w:t>5</w:t>
            </w:r>
          </w:p>
          <w:p w:rsidR="007775C1" w:rsidRPr="007775C1" w:rsidRDefault="007775C1" w:rsidP="00447E7A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775C1" w:rsidRPr="001C1395" w:rsidRDefault="00F53AD1" w:rsidP="00447E7A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7775C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 утверждении муниципальной  программы</w:t>
            </w:r>
          </w:p>
          <w:p w:rsidR="00F53AD1" w:rsidRPr="001C1395" w:rsidRDefault="007775C1" w:rsidP="00447E7A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«Капитальный ремонт жилищного фонда</w:t>
            </w:r>
          </w:p>
          <w:p w:rsidR="004536C6" w:rsidRDefault="004536C6" w:rsidP="00447E7A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775C1" w:rsidRPr="001C1395" w:rsidRDefault="00F53AD1" w:rsidP="00447E7A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Киндальское</w:t>
            </w:r>
            <w:proofErr w:type="spellEnd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775C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</w:t>
            </w: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поселение»</w:t>
            </w:r>
            <w:r w:rsidR="007775C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2014</w:t>
            </w:r>
            <w:r w:rsidR="007775C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году»</w:t>
            </w:r>
          </w:p>
          <w:p w:rsidR="007775C1" w:rsidRPr="001C1395" w:rsidRDefault="007775C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775C1" w:rsidRPr="001C1395" w:rsidRDefault="007775C1" w:rsidP="00447E7A">
            <w:pPr>
              <w:ind w:left="567"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целях реализации Федерального закона от 06.10.2003 г. №131-ФЗ «Об общих принципах организации местного самоуправления  в Российской Федерации»</w:t>
            </w:r>
            <w:r w:rsidR="00F53AD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Решение Совета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F53AD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№44 от 24.12.2013г «О бюджете </w:t>
            </w:r>
            <w:r w:rsidR="00453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53AD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Киндальское</w:t>
            </w:r>
            <w:proofErr w:type="spellEnd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53AD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поселения» на 2014 год»</w:t>
            </w: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повышения качества реформирования жилищно-коммунального хозяйства</w:t>
            </w:r>
            <w:r w:rsidR="00EE51AA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775C1" w:rsidRPr="001C1395" w:rsidRDefault="007775C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C139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C139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 С Т А Н О В Л Я Ю:</w:t>
            </w:r>
          </w:p>
          <w:p w:rsidR="007775C1" w:rsidRPr="001C1395" w:rsidRDefault="007775C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 Утвердить муниципальную программу «Капитальный ремонт жилищного фонда </w:t>
            </w:r>
            <w:r w:rsidR="00453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53AD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Киндальское</w:t>
            </w:r>
            <w:proofErr w:type="spellEnd"/>
            <w:r w:rsidR="00F53AD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сельское поселение»</w:t>
            </w: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53AD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2014</w:t>
            </w: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году» (Приложение).</w:t>
            </w:r>
          </w:p>
          <w:p w:rsidR="007775C1" w:rsidRPr="001C1395" w:rsidRDefault="00F53AD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7775C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775C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775C1"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исполнением настоящего постано</w:t>
            </w:r>
            <w:r w:rsidRPr="001C13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вления оставляю за собой</w:t>
            </w:r>
            <w:r w:rsidR="00453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775C1" w:rsidRPr="00F53AD1" w:rsidRDefault="007775C1" w:rsidP="00447E7A">
            <w:pPr>
              <w:ind w:left="567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7775C1" w:rsidRPr="007775C1" w:rsidRDefault="007775C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775C1" w:rsidRPr="007775C1" w:rsidRDefault="007775C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36C6" w:rsidRDefault="007775C1" w:rsidP="001E09EB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</w:p>
          <w:p w:rsidR="007775C1" w:rsidRPr="004536C6" w:rsidRDefault="00F53AD1" w:rsidP="004536C6">
            <w:pPr>
              <w:spacing w:after="0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536C6" w:rsidRP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7775C1" w:rsidRP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ельского</w:t>
            </w:r>
            <w:r w:rsidR="00453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775C1" w:rsidRP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поселения </w:t>
            </w:r>
            <w:r w:rsidRP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="0026108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В.В.Волков</w:t>
            </w:r>
          </w:p>
          <w:p w:rsidR="00F53AD1" w:rsidRDefault="00F53AD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53AD1" w:rsidRDefault="00F53AD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53AD1" w:rsidRDefault="00F53AD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53AD1" w:rsidRPr="0026108F" w:rsidRDefault="0026108F" w:rsidP="0026108F">
            <w:pPr>
              <w:pStyle w:val="a3"/>
              <w:rPr>
                <w:sz w:val="20"/>
                <w:szCs w:val="20"/>
                <w:lang w:eastAsia="ru-RU"/>
              </w:rPr>
            </w:pPr>
            <w:r w:rsidRPr="0026108F">
              <w:rPr>
                <w:sz w:val="20"/>
                <w:szCs w:val="20"/>
                <w:lang w:eastAsia="ru-RU"/>
              </w:rPr>
              <w:t>Исполнитель:</w:t>
            </w:r>
          </w:p>
          <w:p w:rsidR="0026108F" w:rsidRPr="0026108F" w:rsidRDefault="0026108F" w:rsidP="0026108F">
            <w:pPr>
              <w:pStyle w:val="a3"/>
              <w:rPr>
                <w:sz w:val="20"/>
                <w:szCs w:val="20"/>
                <w:lang w:eastAsia="ru-RU"/>
              </w:rPr>
            </w:pPr>
            <w:r w:rsidRPr="0026108F">
              <w:rPr>
                <w:sz w:val="20"/>
                <w:szCs w:val="20"/>
                <w:lang w:eastAsia="ru-RU"/>
              </w:rPr>
              <w:t>Петрова Н.Н.</w:t>
            </w:r>
          </w:p>
          <w:p w:rsidR="0026108F" w:rsidRPr="0026108F" w:rsidRDefault="0026108F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610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32-141</w:t>
            </w:r>
          </w:p>
          <w:p w:rsidR="00F53AD1" w:rsidRDefault="00F53AD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F53AD1" w:rsidRDefault="00F53AD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E51AA" w:rsidRDefault="00EE51AA" w:rsidP="00447E7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775C1" w:rsidRPr="00EE51AA" w:rsidRDefault="007775C1" w:rsidP="00447E7A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51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Приложение</w:t>
            </w:r>
          </w:p>
          <w:p w:rsidR="007775C1" w:rsidRDefault="007775C1" w:rsidP="00447E7A">
            <w:pPr>
              <w:spacing w:after="0"/>
              <w:ind w:left="567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к Постановлению </w:t>
            </w:r>
            <w:r w:rsid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Главы</w:t>
            </w:r>
          </w:p>
          <w:p w:rsidR="00F53AD1" w:rsidRPr="00F53AD1" w:rsidRDefault="0026108F" w:rsidP="00447E7A">
            <w:pPr>
              <w:spacing w:after="0"/>
              <w:ind w:left="567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Киндальского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сельского поселения</w:t>
            </w:r>
          </w:p>
          <w:p w:rsidR="007775C1" w:rsidRPr="00EE51AA" w:rsidRDefault="007775C1" w:rsidP="00447E7A">
            <w:pPr>
              <w:spacing w:after="0"/>
              <w:ind w:left="567"/>
              <w:jc w:val="right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от </w:t>
            </w:r>
            <w:r w:rsidR="007D7192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10</w:t>
            </w:r>
            <w:r w:rsid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 .02</w:t>
            </w:r>
            <w:r w:rsidRP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.201</w:t>
            </w:r>
            <w:r w:rsid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4</w:t>
            </w:r>
            <w:r w:rsidRPr="00F53AD1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г.  № </w:t>
            </w:r>
            <w:r w:rsidR="007D7192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5</w:t>
            </w:r>
          </w:p>
          <w:p w:rsidR="007775C1" w:rsidRPr="007775C1" w:rsidRDefault="007775C1" w:rsidP="00447E7A">
            <w:pPr>
              <w:ind w:left="567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  <w:p w:rsidR="007775C1" w:rsidRPr="004536C6" w:rsidRDefault="007775C1" w:rsidP="00447E7A">
            <w:pPr>
              <w:spacing w:after="0"/>
              <w:ind w:left="567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536C6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  <w:lang w:eastAsia="ru-RU"/>
              </w:rPr>
              <w:t>МУНИЦИПАЛЬНАЯ ПРОГРАММА</w:t>
            </w:r>
          </w:p>
          <w:p w:rsidR="007775C1" w:rsidRPr="004536C6" w:rsidRDefault="007775C1" w:rsidP="00447E7A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«Капитальный ремонт жилищного фонда</w:t>
            </w:r>
          </w:p>
          <w:p w:rsidR="007775C1" w:rsidRPr="004536C6" w:rsidRDefault="004536C6" w:rsidP="00447E7A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Муниципального образования</w:t>
            </w:r>
            <w:r w:rsidR="00EE51AA"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6108F"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Киндальское</w:t>
            </w:r>
            <w:proofErr w:type="spellEnd"/>
            <w:r w:rsidR="0026108F"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E51AA"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сельское поселение» в 2014</w:t>
            </w:r>
            <w:r w:rsidR="007775C1"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</w:t>
            </w:r>
            <w:r w:rsidR="00EE51AA" w:rsidRPr="004536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оду</w:t>
            </w:r>
            <w:r w:rsid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714EE3" w:rsidRPr="004536C6" w:rsidRDefault="00714EE3" w:rsidP="00447E7A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47E7A" w:rsidRPr="00714EE3" w:rsidRDefault="009054F8" w:rsidP="00447E7A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ПАСПОРТ ПРОГРАММЫ</w:t>
            </w:r>
          </w:p>
          <w:tbl>
            <w:tblPr>
              <w:tblpPr w:leftFromText="180" w:rightFromText="180" w:vertAnchor="text" w:horzAnchor="margin" w:tblpXSpec="center" w:tblpY="53"/>
              <w:tblOverlap w:val="never"/>
              <w:tblW w:w="100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7"/>
              <w:gridCol w:w="6418"/>
            </w:tblGrid>
            <w:tr w:rsidR="00447E7A" w:rsidRPr="00447E7A" w:rsidTr="009054F8">
              <w:trPr>
                <w:trHeight w:val="913"/>
              </w:trPr>
              <w:tc>
                <w:tcPr>
                  <w:tcW w:w="36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6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ahoma" w:eastAsia="Times New Roman" w:hAnsi="Tahoma" w:cs="Tahoma"/>
                      <w:bCs/>
                      <w:color w:val="333333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«Капитальный ремонт жилищного фонда</w:t>
                  </w:r>
                </w:p>
                <w:p w:rsidR="00447E7A" w:rsidRPr="00447E7A" w:rsidRDefault="004536C6" w:rsidP="00EE1721">
                  <w:pPr>
                    <w:spacing w:after="0"/>
                    <w:ind w:lef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Муниципальное образ</w:t>
                  </w:r>
                  <w:r w:rsidR="00EE1721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ание</w:t>
                  </w:r>
                  <w:r w:rsidR="00447E7A" w:rsidRPr="00447E7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26108F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Киндальское</w:t>
                  </w:r>
                  <w:proofErr w:type="spellEnd"/>
                  <w:r w:rsidR="00447E7A" w:rsidRPr="00447E7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сельское поселение» в 2014 году.</w:t>
                  </w:r>
                </w:p>
              </w:tc>
            </w:tr>
            <w:tr w:rsidR="00447E7A" w:rsidRPr="00447E7A" w:rsidTr="009054F8">
              <w:trPr>
                <w:trHeight w:val="720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Основание для разработки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Федеральный закон  от 06.10.2003 г. №131-ФЗ «Об общих принципах организации местного самоуправления  в Российской Федерации»,</w:t>
                  </w:r>
                </w:p>
                <w:p w:rsidR="00447E7A" w:rsidRPr="00447E7A" w:rsidRDefault="00447E7A" w:rsidP="004536C6">
                  <w:pPr>
                    <w:spacing w:after="0"/>
                    <w:ind w:lef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Устав  </w:t>
                  </w:r>
                  <w:r w:rsidR="004536C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муниципальное образование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Киндальское</w:t>
                  </w:r>
                  <w:proofErr w:type="spellEnd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сельское поселение»</w:t>
                  </w:r>
                </w:p>
              </w:tc>
            </w:tr>
            <w:tr w:rsidR="00447E7A" w:rsidRPr="00447E7A" w:rsidTr="009054F8">
              <w:trPr>
                <w:trHeight w:val="360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Заказчик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26108F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Киндальского</w:t>
                  </w:r>
                  <w:proofErr w:type="spellEnd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</w:tc>
            </w:tr>
            <w:tr w:rsidR="00447E7A" w:rsidRPr="00447E7A" w:rsidTr="009054F8">
              <w:trPr>
                <w:trHeight w:val="360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Разработчик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26108F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Киндальского</w:t>
                  </w:r>
                  <w:proofErr w:type="spellEnd"/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447E7A" w:rsidRPr="00447E7A" w:rsidTr="001C1395">
              <w:trPr>
                <w:trHeight w:val="2175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Цели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Symbol" w:eastAsia="Times New Roman" w:hAnsi="Symbol" w:cs="Times New Roman"/>
                      <w:color w:val="333333"/>
                      <w:sz w:val="24"/>
                      <w:szCs w:val="24"/>
                      <w:lang w:eastAsia="ru-RU"/>
                    </w:rPr>
                    <w:t>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создание безопасных и благоприятных условий проживания граждан;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Symbol" w:eastAsia="Times New Roman" w:hAnsi="Symbol" w:cs="Times New Roman"/>
                      <w:color w:val="333333"/>
                      <w:sz w:val="24"/>
                      <w:szCs w:val="24"/>
                      <w:lang w:eastAsia="ru-RU"/>
                    </w:rPr>
                    <w:t>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повышение качества реформирования жилищно-ком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softHyphen/>
                    <w:t>мунального хозяйства;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Symbol" w:eastAsia="Times New Roman" w:hAnsi="Symbol" w:cs="Times New Roman"/>
                      <w:color w:val="333333"/>
                      <w:sz w:val="24"/>
                      <w:szCs w:val="24"/>
                      <w:lang w:eastAsia="ru-RU"/>
                    </w:rPr>
                    <w:t>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  создание условий для выполнения обязательств муниципального образования по проведению капитального ремонта жилищного фонда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7E7A" w:rsidRPr="00447E7A" w:rsidTr="009054F8">
              <w:trPr>
                <w:trHeight w:val="1262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Задачи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 Проведение капитального ремонта многоквартирных домов.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 Увеличение сроков эксплуатации жилищного фонда.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 Повышение надежности инженерных систем и их развитие.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4. Снижение рисков возникновения аварийных ситуаций.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5. Создание условий для экономии эксплуатационных расходов.</w:t>
                  </w:r>
                </w:p>
              </w:tc>
            </w:tr>
            <w:tr w:rsidR="00447E7A" w:rsidRPr="00447E7A" w:rsidTr="009054F8">
              <w:trPr>
                <w:trHeight w:val="707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Важнейшие целевые 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показатели и индикаторы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 Приведение жилищного фонда в соответствие со стандартами качества, обеспечивающими комфортные условия проживания граждан.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 Улучшение качества предоставляемых жилищно-коммунальных услуг</w:t>
                  </w:r>
                </w:p>
              </w:tc>
            </w:tr>
            <w:tr w:rsidR="00447E7A" w:rsidRPr="00447E7A" w:rsidTr="009054F8">
              <w:trPr>
                <w:trHeight w:val="480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Срок реализации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2014 год</w:t>
                  </w:r>
                </w:p>
              </w:tc>
            </w:tr>
            <w:tr w:rsidR="00447E7A" w:rsidRPr="00447E7A" w:rsidTr="009054F8">
              <w:trPr>
                <w:trHeight w:val="360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Участники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Киндальского</w:t>
                  </w:r>
                  <w:proofErr w:type="spellEnd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сельского поселения,</w:t>
                  </w:r>
                  <w:proofErr w:type="gramStart"/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предприятия и организации, привлекаемые на конкурсной основе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7E7A" w:rsidRPr="00447E7A" w:rsidTr="009054F8">
              <w:trPr>
                <w:trHeight w:val="290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26108F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Предполагаемый общий объем финансовых средств, необходимых для реализации мероприятий Программы, составляет  </w:t>
                  </w:r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283300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рублей, за счет средств бюджета сельского поселения на 2014 год</w:t>
                  </w:r>
                </w:p>
              </w:tc>
            </w:tr>
            <w:tr w:rsidR="00447E7A" w:rsidRPr="00447E7A" w:rsidTr="009054F8">
              <w:trPr>
                <w:trHeight w:val="1254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Ожидаемые конечные результаты выполнения Программы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 Безопасность и комфортность проживания граждан в многоквартирных домах.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 Повышение качества оказываемых коммунальных услуг.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 Создание условий для развития самоуправления в жилищной сфере.</w:t>
                  </w:r>
                </w:p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4. Снижение социальной напряженности в обществе.</w:t>
                  </w:r>
                </w:p>
              </w:tc>
            </w:tr>
            <w:tr w:rsidR="00447E7A" w:rsidRPr="00447E7A" w:rsidTr="009054F8">
              <w:trPr>
                <w:trHeight w:val="480"/>
              </w:trPr>
              <w:tc>
                <w:tcPr>
                  <w:tcW w:w="3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447E7A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Управление Программой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7E7A" w:rsidRPr="00447E7A" w:rsidRDefault="00447E7A" w:rsidP="0026108F">
                  <w:pPr>
                    <w:spacing w:after="0"/>
                    <w:ind w:left="567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Координацию деятельности участников Программы по ее реализации осуществляет Глава </w:t>
                  </w:r>
                  <w:proofErr w:type="spellStart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Киндальского</w:t>
                  </w:r>
                  <w:proofErr w:type="spellEnd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сельского поселения, Совет </w:t>
                  </w:r>
                  <w:proofErr w:type="spellStart"/>
                  <w:r w:rsidR="0026108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Киндальского</w:t>
                  </w:r>
                  <w:proofErr w:type="spellEnd"/>
                  <w:r w:rsidRPr="00447E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</w:tbl>
          <w:p w:rsidR="007775C1" w:rsidRPr="004536C6" w:rsidRDefault="007775C1" w:rsidP="009054F8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536C6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</w:t>
            </w:r>
          </w:p>
          <w:p w:rsidR="007775C1" w:rsidRPr="00714EE3" w:rsidRDefault="007775C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настоящее время жилищный фо</w:t>
            </w:r>
            <w:r w:rsidR="00E0297B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 в муниципальном образовании «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Киндальское</w:t>
            </w:r>
            <w:proofErr w:type="spellEnd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0297B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ельское поселени</w:t>
            </w:r>
            <w:r w:rsidR="00E0297B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е»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характеризуется большим процентом износа конструктивных элементов многоквартирных домов, таких как: кровли, фасады, внутридомовые инженерные системы </w:t>
            </w:r>
            <w:r w:rsid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электро-, тепло-, водоснабжения. 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связи с этим увеличивается процент возникновения аварийных ситуаций, происходят большие потери энергоносителей.</w:t>
            </w:r>
          </w:p>
          <w:p w:rsidR="007775C1" w:rsidRPr="00714EE3" w:rsidRDefault="00E0297B" w:rsidP="00447E7A">
            <w:pPr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состоянию на 01.</w:t>
            </w:r>
            <w:r w:rsid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</w:t>
            </w:r>
            <w:r w:rsid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 на территории муниципального образования расположено и находится в муницип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альной собственности поселения </w:t>
            </w:r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многоквартирных жилых домов. Из них на сегодняшний день практически весь жилищный фонд требует капитального ремонта отдельных конструктивных элементов или инженерных систем. Учитывая итоги общих осмотров жилищ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 фонда в осенний период 2013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г., 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сельского поселения и жилищной комиссией 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подготовке жилищного фонда муниципального образован</w:t>
            </w:r>
            <w:r w:rsidR="001E0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 к работе в зимний период 2014-2015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гг. были выявлены объекты, которые более других требуют проведения капитального ремонта по отдельным видам работ.</w:t>
            </w:r>
          </w:p>
          <w:p w:rsidR="007775C1" w:rsidRPr="00714EE3" w:rsidRDefault="007775C1" w:rsidP="00447E7A">
            <w:pPr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Средства, ежегодно выделяемые из местного бюджета на проведение капитальных ремонтов многоквартирных домов, недостаточны для приведения в надлежащее состояние всего жилищного фонда в муниципальном образовании, но помогают решать наиболее остро стоящие</w:t>
            </w:r>
            <w:r w:rsid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проблемы.</w:t>
            </w:r>
          </w:p>
          <w:p w:rsidR="007775C1" w:rsidRPr="009054F8" w:rsidRDefault="007775C1" w:rsidP="009054F8">
            <w:pPr>
              <w:spacing w:after="0"/>
              <w:ind w:left="567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9054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2. Основные цели и задачи Программы, сроки ее реализации,</w:t>
            </w:r>
          </w:p>
          <w:p w:rsidR="007775C1" w:rsidRPr="009054F8" w:rsidRDefault="007775C1" w:rsidP="009054F8">
            <w:pPr>
              <w:spacing w:after="0"/>
              <w:ind w:left="567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9054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целевые индикаторы и показатели.</w:t>
            </w:r>
          </w:p>
          <w:p w:rsidR="002637E4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Целью Программы является: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lastRenderedPageBreak/>
              <w:t></w:t>
            </w:r>
            <w:r w:rsidR="002637E4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граждан;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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 повышение качества реформирования жилищно-ком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мунального хозяйства;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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 создание условий для выполнения обязательств муниципального образования по проведению капитального ремонта жилищного фонда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достижения поставленных целей необходима реализация следующих задач</w:t>
            </w:r>
            <w:r w:rsidRPr="00714EE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: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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 Проведение капитального ремонта многоквартирных домов.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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 Увеличение сроков эксплуатации жилищного фонда.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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 Повышение надежности инженерных систем и их развитие.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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 Снижение рисков возникновения аварийных ситуаций.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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 Создание условий для экономии эксплуатационных расходов.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Настоящая Программа планиру</w:t>
            </w:r>
            <w:r w:rsidR="002637E4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ется к реализации в течение 2014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года, и позволит осуществить проведение следующих видов работы: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           капитальный ремонт </w:t>
            </w:r>
            <w:r w:rsidR="002637E4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печного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отопления</w:t>
            </w:r>
            <w:r w:rsidR="002637E4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 капитальный ремонт кровель;</w:t>
            </w:r>
          </w:p>
          <w:p w:rsidR="007775C1" w:rsidRPr="00714EE3" w:rsidRDefault="002637E4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капитальный ремонт фасадов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775C1" w:rsidRPr="007775C1" w:rsidRDefault="002637E4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         </w:t>
            </w:r>
            <w:r w:rsidRP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выборочный капитальный ремонт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2637E4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3. Перечень программных мероприятий</w:t>
            </w:r>
          </w:p>
          <w:p w:rsidR="007775C1" w:rsidRPr="00D75530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Программа предусматривает мероприятия, способные активно улучшить состояние жилищного фонда муниципального образования, снизить аварийность и потери </w:t>
            </w:r>
            <w:proofErr w:type="spellStart"/>
            <w:r w:rsidRP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теплоресурсов</w:t>
            </w:r>
            <w:proofErr w:type="spellEnd"/>
            <w:r w:rsidRP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объектах,</w:t>
            </w:r>
            <w:r w:rsidR="00B04898" w:rsidRP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улучшить обеспечение населения. </w:t>
            </w:r>
            <w:r w:rsidRPr="00D75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основных программных мероприятий приведен в приложении № 1 к настоящей Программе.</w:t>
            </w:r>
          </w:p>
          <w:p w:rsidR="007775C1" w:rsidRPr="007775C1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4. Обоснование ресурсного обеспечения Программы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Источниками финансирования Программы являются средства местного бюд</w:t>
            </w:r>
            <w:r w:rsidR="002637E4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жета на 2014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 в размере </w:t>
            </w:r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283300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рублей. Конкретный объем финансирования мероприятий Программы за счет средств местного бюджета уточняется и устанавливается Советом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B04898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формировании и исп</w:t>
            </w:r>
            <w:r w:rsidR="002637E4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олнении местного бюджета на 2014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год, исходя из возможностей местного бюджета.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5. Механизм реализации Программы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рамках своих полномочий администрация сельского поселения, управляющая организация, предприятия и организации, привлекаемые на конкурсной основе для проведения капитального ремонта многоквартирных домов,  выполняют целевые мероприятия Программы за счет средств, предусмотренных на реализацию Программы.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ходом реализации Программы осуществляют глава</w:t>
            </w:r>
            <w:r w:rsidR="00B04898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  <w:r w:rsidR="00B04898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Совет 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B04898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работ по реализации Программы осуществляется </w:t>
            </w:r>
            <w:r w:rsidR="00B04898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B04898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7775C1" w:rsidRPr="00714EE3" w:rsidRDefault="00B04898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контролирует реализацию мероприятий. В установленном порядке и сроки предоставляет в 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планирования и управления муниципальной собственностью</w:t>
            </w: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8612E0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775C1"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информацию о целевом использовании средств, выделенных на реализацию мероприятий Программы из бюджета, а также об объеме освоенных средств.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учетом ресурсного обеспечения реализации Программы и возможного изменения в ходе ее реализации приоритетов выполнения ремонтных работ, в перечень мероприятий возможно внесение соответствующих изменений и дополнений.</w:t>
            </w:r>
          </w:p>
          <w:p w:rsidR="007775C1" w:rsidRPr="00714EE3" w:rsidRDefault="001C1395" w:rsidP="001C1395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lang w:eastAsia="ru-RU"/>
              </w:rPr>
              <w:t xml:space="preserve">        </w:t>
            </w:r>
            <w:r w:rsidR="007775C1" w:rsidRPr="00714EE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6. Оценка эффективности социально-экономических результатов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реализации Программы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результате реализации Программы ожидается достижение следующих показателей: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Повышение безопасности и комфортности проживания граждан в многоквартирных домах;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 Повышение качества оказываемых коммунальных услуг;</w:t>
            </w:r>
          </w:p>
          <w:p w:rsidR="007775C1" w:rsidRPr="00714EE3" w:rsidRDefault="007775C1" w:rsidP="009054F8">
            <w:pPr>
              <w:spacing w:after="0" w:line="240" w:lineRule="auto"/>
              <w:ind w:left="567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Создание условий для развития самоуправления в жилищной сфере;</w:t>
            </w:r>
          </w:p>
          <w:p w:rsidR="007775C1" w:rsidRDefault="007775C1" w:rsidP="001C139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Снижение социальной напряженности в обществе.</w:t>
            </w:r>
          </w:p>
          <w:p w:rsidR="001C1395" w:rsidRPr="001C1395" w:rsidRDefault="001C1395" w:rsidP="001C139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35" w:tblpY="-1371"/>
        <w:tblW w:w="15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258"/>
      </w:tblGrid>
      <w:tr w:rsidR="001D2CE1" w:rsidRPr="007775C1" w:rsidTr="00714EE3">
        <w:trPr>
          <w:tblCellSpacing w:w="0" w:type="dxa"/>
        </w:trPr>
        <w:tc>
          <w:tcPr>
            <w:tcW w:w="15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CE1" w:rsidRPr="00714EE3" w:rsidRDefault="001D2CE1" w:rsidP="001C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1D2CE1" w:rsidRPr="00714EE3" w:rsidRDefault="00406DB9" w:rsidP="001C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1D2CE1" w:rsidRPr="00714E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Приложение №1</w:t>
            </w:r>
          </w:p>
          <w:p w:rsidR="001D2CE1" w:rsidRPr="00714EE3" w:rsidRDefault="00406DB9" w:rsidP="001C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1D2CE1" w:rsidRPr="00714E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 муниципальной программе</w:t>
            </w:r>
          </w:p>
          <w:p w:rsidR="001D2CE1" w:rsidRPr="00406DB9" w:rsidRDefault="001D2CE1" w:rsidP="001C1395">
            <w:pPr>
              <w:tabs>
                <w:tab w:val="left" w:pos="10065"/>
                <w:tab w:val="left" w:pos="10348"/>
                <w:tab w:val="left" w:pos="10632"/>
                <w:tab w:val="decimal" w:pos="1077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D2CE1" w:rsidRPr="00EE1721" w:rsidRDefault="001D2CE1" w:rsidP="00EE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Мероприятия и объем финансирования муниципальной программы</w:t>
            </w:r>
          </w:p>
          <w:p w:rsidR="004536C6" w:rsidRPr="00EE1721" w:rsidRDefault="001D2CE1" w:rsidP="00EE1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«Капитальный  ремонт  жилищного  фонда </w:t>
            </w:r>
            <w:r w:rsidR="004536C6"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D2CE1" w:rsidRPr="00EE1721" w:rsidRDefault="001D2CE1" w:rsidP="00EE1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="0026108F"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Киндальское</w:t>
            </w:r>
            <w:proofErr w:type="spellEnd"/>
            <w:r w:rsidR="0026108F"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сельское поселение» на 2014 год</w:t>
            </w:r>
            <w:r w:rsidR="00EE1721" w:rsidRPr="00EE17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1D2CE1" w:rsidRPr="001D2CE1" w:rsidRDefault="001D2CE1" w:rsidP="0071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1D2CE1" w:rsidRPr="007775C1" w:rsidRDefault="001D2CE1" w:rsidP="0071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D2CE1" w:rsidRPr="007775C1" w:rsidRDefault="001D2CE1" w:rsidP="0071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939"/>
        <w:tblOverlap w:val="never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1134"/>
        <w:gridCol w:w="1559"/>
        <w:gridCol w:w="3685"/>
      </w:tblGrid>
      <w:tr w:rsidR="00406DB9" w:rsidRPr="001D2CE1" w:rsidTr="00BA2215">
        <w:trPr>
          <w:trHeight w:val="1546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1E09EB" w:rsidRDefault="00714EE3" w:rsidP="005F47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14EE3" w:rsidRPr="001E09EB" w:rsidRDefault="00714EE3" w:rsidP="005F47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09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 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1E09EB" w:rsidRDefault="00714EE3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09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Объем</w:t>
            </w:r>
          </w:p>
          <w:p w:rsidR="00714EE3" w:rsidRPr="001E09EB" w:rsidRDefault="00714EE3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09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выполняемых работ</w:t>
            </w:r>
            <w:r w:rsidR="00296756" w:rsidRPr="001E09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м.кв.</w:t>
            </w:r>
          </w:p>
          <w:p w:rsidR="00714EE3" w:rsidRPr="001E09EB" w:rsidRDefault="00714EE3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1E09EB" w:rsidRDefault="00714EE3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09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Объем финансирования, тыс. руб.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1E09EB" w:rsidRDefault="00714EE3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14EE3" w:rsidRPr="001E09EB" w:rsidRDefault="00714EE3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09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Исполнитель</w:t>
            </w:r>
          </w:p>
        </w:tc>
      </w:tr>
      <w:tr w:rsidR="00406DB9" w:rsidRPr="00714EE3" w:rsidTr="005F47C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BA2215" w:rsidRDefault="00714EE3" w:rsidP="00BA2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2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0B5178" w:rsidRPr="00BA2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Выборочный капитальный ремонт</w:t>
            </w:r>
            <w:r w:rsidRPr="00BA2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BA2215" w:rsidRDefault="007D7192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BA2215" w:rsidRDefault="007D7192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283,3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EE3" w:rsidRPr="00BA2215" w:rsidRDefault="00296756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22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714EE3" w:rsidRPr="00BA22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итогам торгов</w:t>
            </w:r>
          </w:p>
          <w:p w:rsidR="00714EE3" w:rsidRPr="00714EE3" w:rsidRDefault="00714EE3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6DB9" w:rsidRPr="00714EE3" w:rsidTr="005F47C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296756" w:rsidP="0026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0B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 ул. Школьная </w:t>
            </w:r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ул. Школьная </w:t>
            </w:r>
            <w:r w:rsidR="00261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кв.1</w:t>
            </w:r>
            <w:r w:rsidR="007D7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ул. Центральная 38 кв</w:t>
            </w:r>
            <w:proofErr w:type="gramStart"/>
            <w:r w:rsidR="007D7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7D7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ул. Береговая 16 кв.1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7D7192" w:rsidP="005F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7D7192" w:rsidP="005F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EE3" w:rsidRPr="00714EE3" w:rsidRDefault="00714EE3" w:rsidP="005F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6DB9" w:rsidRPr="00714EE3" w:rsidTr="005F47C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714EE3" w:rsidP="005F47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714EE3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714EE3" w:rsidP="005F4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EE3" w:rsidRPr="00714EE3" w:rsidRDefault="00714EE3" w:rsidP="005F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6DB9" w:rsidRPr="00714EE3" w:rsidTr="005F47C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714EE3" w:rsidRDefault="000B5178" w:rsidP="005F47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4</w:t>
            </w:r>
            <w:r w:rsidR="00714EE3" w:rsidRPr="00714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 Составление сметной документации и  проведение технического надзора за  производством 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714EE3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714EE3" w:rsidRDefault="00714EE3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EE3" w:rsidRPr="00714EE3" w:rsidRDefault="00714EE3" w:rsidP="005F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6DB9" w:rsidRPr="001D2CE1" w:rsidTr="005F47C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714EE3" w:rsidRDefault="00714EE3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14EE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BA2215" w:rsidRDefault="007D7192" w:rsidP="00BA2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E3" w:rsidRPr="00BA2215" w:rsidRDefault="007D7192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283,3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E3" w:rsidRPr="00714EE3" w:rsidRDefault="00714EE3" w:rsidP="005F4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9E6EC4" w:rsidRDefault="009E6EC4" w:rsidP="004536C6">
      <w:pPr>
        <w:spacing w:line="240" w:lineRule="auto"/>
      </w:pPr>
    </w:p>
    <w:sectPr w:rsidR="009E6EC4" w:rsidSect="00714EE3">
      <w:pgSz w:w="11907" w:h="16839" w:code="9"/>
      <w:pgMar w:top="42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5C1"/>
    <w:rsid w:val="000B5178"/>
    <w:rsid w:val="0016702E"/>
    <w:rsid w:val="00183270"/>
    <w:rsid w:val="001C1395"/>
    <w:rsid w:val="001D2CE1"/>
    <w:rsid w:val="001E09EB"/>
    <w:rsid w:val="0026108F"/>
    <w:rsid w:val="002637E4"/>
    <w:rsid w:val="00296756"/>
    <w:rsid w:val="00306353"/>
    <w:rsid w:val="00406DB9"/>
    <w:rsid w:val="00447E7A"/>
    <w:rsid w:val="004536C6"/>
    <w:rsid w:val="004C4CD9"/>
    <w:rsid w:val="005566E5"/>
    <w:rsid w:val="005F47CA"/>
    <w:rsid w:val="005F7364"/>
    <w:rsid w:val="00686189"/>
    <w:rsid w:val="006B5257"/>
    <w:rsid w:val="006E067E"/>
    <w:rsid w:val="00714EE3"/>
    <w:rsid w:val="00744B50"/>
    <w:rsid w:val="007775C1"/>
    <w:rsid w:val="007810B3"/>
    <w:rsid w:val="00795A3C"/>
    <w:rsid w:val="007D7192"/>
    <w:rsid w:val="007F4B42"/>
    <w:rsid w:val="00800046"/>
    <w:rsid w:val="008211C7"/>
    <w:rsid w:val="008612E0"/>
    <w:rsid w:val="00871603"/>
    <w:rsid w:val="008B1E9E"/>
    <w:rsid w:val="009054F8"/>
    <w:rsid w:val="009747B5"/>
    <w:rsid w:val="009E6EC4"/>
    <w:rsid w:val="00B04898"/>
    <w:rsid w:val="00BA2215"/>
    <w:rsid w:val="00C11A77"/>
    <w:rsid w:val="00C210C5"/>
    <w:rsid w:val="00C74A5A"/>
    <w:rsid w:val="00CD58F9"/>
    <w:rsid w:val="00CE716A"/>
    <w:rsid w:val="00D064B3"/>
    <w:rsid w:val="00D75530"/>
    <w:rsid w:val="00DA7CBD"/>
    <w:rsid w:val="00DB3A5B"/>
    <w:rsid w:val="00E0297B"/>
    <w:rsid w:val="00E176A7"/>
    <w:rsid w:val="00E914EA"/>
    <w:rsid w:val="00EE1721"/>
    <w:rsid w:val="00EE51AA"/>
    <w:rsid w:val="00F15636"/>
    <w:rsid w:val="00F337B7"/>
    <w:rsid w:val="00F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E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E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2014-02-28T05:11:00Z</cp:lastPrinted>
  <dcterms:created xsi:type="dcterms:W3CDTF">2014-02-06T06:24:00Z</dcterms:created>
  <dcterms:modified xsi:type="dcterms:W3CDTF">2014-03-03T08:49:00Z</dcterms:modified>
</cp:coreProperties>
</file>