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7E" w:rsidRDefault="00FD0E7E" w:rsidP="00FD0E7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УТВЕРЖДАЮ:</w:t>
      </w:r>
    </w:p>
    <w:p w:rsidR="00FD0E7E" w:rsidRDefault="00FD0E7E" w:rsidP="00FD0E7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Председатель общественного совета</w:t>
      </w:r>
    </w:p>
    <w:p w:rsidR="00FD0E7E" w:rsidRDefault="00A46338" w:rsidP="00FD0E7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_____________И.А.Костарева</w:t>
      </w:r>
    </w:p>
    <w:p w:rsidR="00FD0E7E" w:rsidRDefault="00687D6B" w:rsidP="00FD0E7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«07» февраля 2025</w:t>
      </w:r>
      <w:r w:rsidR="00FD0E7E">
        <w:rPr>
          <w:rStyle w:val="a4"/>
          <w:rFonts w:ascii="PT Astra Serif" w:hAnsi="PT Astra Serif" w:cs="Arial"/>
          <w:b w:val="0"/>
          <w:color w:val="262626"/>
        </w:rPr>
        <w:t xml:space="preserve"> г.</w:t>
      </w:r>
    </w:p>
    <w:p w:rsidR="00FD0E7E" w:rsidRDefault="00FD0E7E" w:rsidP="00FD0E7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</w:p>
    <w:p w:rsidR="00F73855" w:rsidRPr="00F84C5F" w:rsidRDefault="00F73855" w:rsidP="00011F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>Доклад</w:t>
      </w:r>
    </w:p>
    <w:p w:rsidR="00F73855" w:rsidRPr="00F84C5F" w:rsidRDefault="00F73855" w:rsidP="00F7385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</w:p>
    <w:p w:rsidR="00F73855" w:rsidRPr="00F84C5F" w:rsidRDefault="00F73855" w:rsidP="00F7385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 xml:space="preserve">в </w:t>
      </w:r>
      <w:r w:rsidR="00DB0794">
        <w:rPr>
          <w:rStyle w:val="a4"/>
          <w:rFonts w:ascii="PT Astra Serif" w:hAnsi="PT Astra Serif" w:cs="Arial"/>
          <w:b w:val="0"/>
          <w:color w:val="262626"/>
          <w:u w:val="single"/>
        </w:rPr>
        <w:t>муниципальном образовании</w:t>
      </w:r>
      <w:r w:rsidRPr="00F84C5F">
        <w:rPr>
          <w:rStyle w:val="a4"/>
          <w:rFonts w:ascii="PT Astra Serif" w:hAnsi="PT Astra Serif" w:cs="Arial"/>
          <w:b w:val="0"/>
          <w:color w:val="262626"/>
          <w:u w:val="single"/>
        </w:rPr>
        <w:t xml:space="preserve"> «</w:t>
      </w:r>
      <w:r w:rsidR="00CF37DB">
        <w:rPr>
          <w:rStyle w:val="a4"/>
          <w:rFonts w:ascii="PT Astra Serif" w:hAnsi="PT Astra Serif" w:cs="Arial"/>
          <w:b w:val="0"/>
          <w:color w:val="262626"/>
          <w:u w:val="single"/>
        </w:rPr>
        <w:t>Киндальское</w:t>
      </w:r>
      <w:r w:rsidRPr="00F84C5F">
        <w:rPr>
          <w:rStyle w:val="a4"/>
          <w:rFonts w:ascii="PT Astra Serif" w:hAnsi="PT Astra Serif" w:cs="Arial"/>
          <w:b w:val="0"/>
          <w:color w:val="262626"/>
          <w:u w:val="single"/>
        </w:rPr>
        <w:t xml:space="preserve"> сельское поселение»</w:t>
      </w:r>
    </w:p>
    <w:p w:rsidR="00F73855" w:rsidRPr="00F84C5F" w:rsidRDefault="00687D6B" w:rsidP="00F73855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за 2024</w:t>
      </w:r>
      <w:r w:rsidR="00F73855" w:rsidRPr="00F84C5F">
        <w:rPr>
          <w:rStyle w:val="a4"/>
          <w:rFonts w:ascii="PT Astra Serif" w:hAnsi="PT Astra Serif" w:cs="Arial"/>
          <w:b w:val="0"/>
          <w:color w:val="262626"/>
        </w:rPr>
        <w:t xml:space="preserve"> год</w:t>
      </w:r>
    </w:p>
    <w:p w:rsidR="00F73855" w:rsidRPr="00F84C5F" w:rsidRDefault="00F73855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1. Общие положения:</w:t>
      </w:r>
    </w:p>
    <w:p w:rsidR="00F1333E" w:rsidRDefault="00F73855" w:rsidP="008001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            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</w:p>
    <w:p w:rsidR="00F73855" w:rsidRPr="00CF37DB" w:rsidRDefault="00F73855" w:rsidP="00CF37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Постановление</w:t>
      </w:r>
      <w:r w:rsidR="00F1333E">
        <w:rPr>
          <w:rFonts w:ascii="Times New Roman" w:hAnsi="Times New Roman" w:cs="Times New Roman"/>
          <w:sz w:val="24"/>
          <w:szCs w:val="24"/>
        </w:rPr>
        <w:t>м</w:t>
      </w:r>
      <w:r w:rsidRPr="00F84C5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F37DB">
        <w:rPr>
          <w:rFonts w:ascii="Times New Roman" w:hAnsi="Times New Roman" w:cs="Times New Roman"/>
          <w:sz w:val="24"/>
          <w:szCs w:val="24"/>
        </w:rPr>
        <w:t>Киндальского</w:t>
      </w:r>
      <w:r w:rsidRPr="00F84C5F">
        <w:rPr>
          <w:rFonts w:ascii="Times New Roman" w:hAnsi="Times New Roman" w:cs="Times New Roman"/>
          <w:sz w:val="24"/>
          <w:szCs w:val="24"/>
        </w:rPr>
        <w:t xml:space="preserve"> сельского поселения о</w:t>
      </w:r>
      <w:r w:rsidR="00CF37DB">
        <w:rPr>
          <w:rFonts w:ascii="Times New Roman" w:hAnsi="Times New Roman" w:cs="Times New Roman"/>
          <w:sz w:val="24"/>
          <w:szCs w:val="24"/>
        </w:rPr>
        <w:t>т 14.05.2021 № 13</w:t>
      </w:r>
      <w:r w:rsidRPr="00F84C5F">
        <w:rPr>
          <w:rFonts w:ascii="Times New Roman" w:hAnsi="Times New Roman" w:cs="Times New Roman"/>
          <w:sz w:val="24"/>
          <w:szCs w:val="24"/>
        </w:rPr>
        <w:t xml:space="preserve"> утверждено Положение об организации </w:t>
      </w:r>
      <w:r w:rsidR="00CF37DB" w:rsidRPr="00CF37DB">
        <w:rPr>
          <w:rFonts w:ascii="Times New Roman" w:hAnsi="Times New Roman" w:cs="Times New Roman"/>
          <w:sz w:val="24"/>
          <w:szCs w:val="24"/>
        </w:rPr>
        <w:t>об организации системы внутреннего обеспечения соответствия требованиям антимонопольного законодательства (антимонопольном комплаенсе) в администрации Киндальского сельского поселения</w:t>
      </w:r>
    </w:p>
    <w:p w:rsidR="00F73855" w:rsidRPr="00F84C5F" w:rsidRDefault="00F73855" w:rsidP="00F73855">
      <w:pPr>
        <w:shd w:val="clear" w:color="auto" w:fill="FFFFFF"/>
        <w:spacing w:before="135"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84C5F">
        <w:rPr>
          <w:rFonts w:ascii="PT Astra Serif" w:hAnsi="PT Astra Serif"/>
          <w:sz w:val="24"/>
          <w:szCs w:val="24"/>
        </w:rPr>
        <w:t xml:space="preserve">         2. Информация о проведенных мероприятиях по реализации антимонопольного комплаенса:</w:t>
      </w:r>
    </w:p>
    <w:p w:rsidR="00F73855" w:rsidRPr="00F84C5F" w:rsidRDefault="008001AA" w:rsidP="008001AA">
      <w:pPr>
        <w:shd w:val="clear" w:color="auto" w:fill="FFFFFF"/>
        <w:spacing w:before="135"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F73855" w:rsidRPr="00F84C5F">
        <w:rPr>
          <w:rFonts w:ascii="PT Astra Serif" w:hAnsi="PT Astra Serif"/>
          <w:sz w:val="24"/>
          <w:szCs w:val="24"/>
        </w:rPr>
        <w:t xml:space="preserve">2.1. </w:t>
      </w:r>
      <w:r w:rsidR="00F73855" w:rsidRPr="00F84C5F">
        <w:rPr>
          <w:rFonts w:ascii="PT Astra Serif" w:hAnsi="PT Astra Serif"/>
          <w:bCs/>
          <w:sz w:val="24"/>
          <w:szCs w:val="24"/>
        </w:rPr>
        <w:t>Анализ выявленных нарушений антимонопольного законодательства (д</w:t>
      </w:r>
      <w:r w:rsidR="003D1E91">
        <w:rPr>
          <w:rFonts w:ascii="PT Astra Serif" w:hAnsi="PT Astra Serif"/>
          <w:bCs/>
          <w:sz w:val="24"/>
          <w:szCs w:val="24"/>
        </w:rPr>
        <w:t>алее -</w:t>
      </w:r>
      <w:r w:rsidR="00DB0794">
        <w:rPr>
          <w:rFonts w:ascii="PT Astra Serif" w:hAnsi="PT Astra Serif"/>
          <w:bCs/>
          <w:sz w:val="24"/>
          <w:szCs w:val="24"/>
        </w:rPr>
        <w:t xml:space="preserve"> АМЗ) в деятельности ОМ</w:t>
      </w:r>
      <w:r w:rsidR="00A742D4">
        <w:rPr>
          <w:rFonts w:ascii="PT Astra Serif" w:hAnsi="PT Astra Serif"/>
          <w:bCs/>
          <w:sz w:val="24"/>
          <w:szCs w:val="24"/>
        </w:rPr>
        <w:t>СУ в 2024</w:t>
      </w:r>
      <w:r w:rsidR="003D1E91">
        <w:rPr>
          <w:rFonts w:ascii="PT Astra Serif" w:hAnsi="PT Astra Serif"/>
          <w:bCs/>
          <w:sz w:val="24"/>
          <w:szCs w:val="24"/>
        </w:rPr>
        <w:t xml:space="preserve"> году:</w:t>
      </w:r>
    </w:p>
    <w:p w:rsidR="00F73855" w:rsidRPr="00F84C5F" w:rsidRDefault="00F73855" w:rsidP="00F73855">
      <w:pPr>
        <w:shd w:val="clear" w:color="auto" w:fill="FFFFFF"/>
        <w:spacing w:after="0" w:line="240" w:lineRule="auto"/>
        <w:jc w:val="both"/>
        <w:rPr>
          <w:rFonts w:ascii="PT Astra Serif" w:hAnsi="PT Astra Serif"/>
          <w:bCs/>
          <w:i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2693"/>
        <w:gridCol w:w="2126"/>
      </w:tblGrid>
      <w:tr w:rsidR="00F73855" w:rsidRPr="00F84C5F" w:rsidTr="00D5450A">
        <w:trPr>
          <w:trHeight w:val="1128"/>
        </w:trPr>
        <w:tc>
          <w:tcPr>
            <w:tcW w:w="1560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Выявленные нарушения АМЗ</w:t>
            </w:r>
          </w:p>
        </w:tc>
        <w:tc>
          <w:tcPr>
            <w:tcW w:w="1984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1843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2693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2126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мерах по устранению нарушения АМЗ</w:t>
            </w:r>
          </w:p>
        </w:tc>
      </w:tr>
      <w:tr w:rsidR="00F73855" w:rsidRPr="00F84C5F" w:rsidTr="00D5450A">
        <w:trPr>
          <w:trHeight w:val="623"/>
        </w:trPr>
        <w:tc>
          <w:tcPr>
            <w:tcW w:w="1560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855" w:rsidRPr="00F84C5F" w:rsidRDefault="00F73855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73855" w:rsidRPr="00F84C5F" w:rsidRDefault="003D1E91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F73855" w:rsidRPr="00F84C5F">
        <w:rPr>
          <w:rFonts w:ascii="PT Astra Serif" w:hAnsi="PT Astra Serif"/>
          <w:sz w:val="24"/>
          <w:szCs w:val="24"/>
        </w:rPr>
        <w:t>.2. Анализ действующих нормативных правовых актов на предмет их соответствия АМЗ:</w:t>
      </w:r>
    </w:p>
    <w:p w:rsidR="00F73855" w:rsidRPr="00F84C5F" w:rsidRDefault="00F73855" w:rsidP="00F7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проведенного анализа действующих НПА,  сделан вывод 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 в действующие НПА администрации. </w:t>
      </w:r>
    </w:p>
    <w:p w:rsidR="00F73855" w:rsidRPr="00F84C5F" w:rsidRDefault="00F73855" w:rsidP="00F7385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u w:val="single"/>
        </w:rPr>
      </w:pPr>
      <w:r w:rsidRPr="00F84C5F">
        <w:rPr>
          <w:rFonts w:ascii="PT Astra Serif" w:hAnsi="PT Astra Serif"/>
          <w:sz w:val="24"/>
          <w:szCs w:val="24"/>
        </w:rPr>
        <w:t>2.3.</w:t>
      </w:r>
      <w:r w:rsidRPr="00F84C5F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</w:t>
      </w:r>
      <w:r w:rsidRPr="00F84C5F">
        <w:rPr>
          <w:rFonts w:ascii="PT Astra Serif" w:hAnsi="PT Astra Serif"/>
          <w:sz w:val="24"/>
          <w:szCs w:val="24"/>
        </w:rPr>
        <w:t>Анализ проектов нормативных правовых актов на предмет их соответствия АМЗ</w:t>
      </w:r>
      <w:r w:rsidRPr="00F84C5F">
        <w:rPr>
          <w:rFonts w:ascii="PT Astra Serif" w:hAnsi="PT Astra Serif"/>
          <w:bCs/>
          <w:sz w:val="24"/>
          <w:szCs w:val="24"/>
        </w:rPr>
        <w:t>:</w:t>
      </w:r>
      <w:r w:rsidRPr="00F84C5F">
        <w:rPr>
          <w:rFonts w:ascii="PT Astra Serif" w:hAnsi="PT Astra Serif"/>
          <w:sz w:val="24"/>
          <w:szCs w:val="24"/>
          <w:u w:val="single"/>
        </w:rPr>
        <w:t xml:space="preserve"> </w:t>
      </w:r>
    </w:p>
    <w:p w:rsidR="00F73855" w:rsidRPr="00F84C5F" w:rsidRDefault="00F73855" w:rsidP="00F7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  проведенного анализа проектов  НПА,  сделан вывод 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изменения. 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>2.4. Мониторинг и анализ практики АМЗ: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Нормативные правовые акты, по которым проведен мониторинг (обзор) правоприменительной практики и сферы ее применения.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Проведен 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</w:t>
      </w:r>
      <w:r w:rsidR="008001AA">
        <w:rPr>
          <w:rFonts w:ascii="Times New Roman" w:hAnsi="Times New Roman" w:cs="Times New Roman"/>
          <w:bCs/>
          <w:sz w:val="24"/>
          <w:szCs w:val="24"/>
        </w:rPr>
        <w:t xml:space="preserve">рственных и муниципальных нужд, </w:t>
      </w:r>
      <w:r w:rsidRPr="00F84C5F">
        <w:rPr>
          <w:rFonts w:ascii="Times New Roman" w:hAnsi="Times New Roman" w:cs="Times New Roman"/>
          <w:bCs/>
          <w:sz w:val="24"/>
          <w:szCs w:val="24"/>
        </w:rPr>
        <w:t>с применением законодательства о закупках товаров, работ, услуг отдельными видами юридических лиц.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B0794">
        <w:rPr>
          <w:rFonts w:ascii="Times New Roman" w:hAnsi="Times New Roman" w:cs="Times New Roman"/>
          <w:bCs/>
          <w:sz w:val="24"/>
          <w:szCs w:val="24"/>
        </w:rPr>
        <w:t>2.5.</w:t>
      </w:r>
      <w:r w:rsidRPr="00F84C5F">
        <w:rPr>
          <w:rFonts w:ascii="PT Astra Serif" w:hAnsi="PT Astra Serif"/>
          <w:bCs/>
          <w:i/>
          <w:sz w:val="24"/>
          <w:szCs w:val="24"/>
        </w:rPr>
        <w:t xml:space="preserve"> </w:t>
      </w:r>
      <w:r w:rsidRPr="00F84C5F">
        <w:rPr>
          <w:rFonts w:ascii="PT Astra Serif" w:hAnsi="PT Astra Serif"/>
          <w:sz w:val="24"/>
          <w:szCs w:val="24"/>
        </w:rPr>
        <w:t xml:space="preserve">Проведение оценки выполнения мероприятий по снижению рисков нарушения АМЗ в Администрации </w:t>
      </w:r>
      <w:r w:rsidRPr="00F84C5F">
        <w:rPr>
          <w:rFonts w:ascii="Times New Roman" w:hAnsi="Times New Roman" w:cs="Times New Roman"/>
          <w:sz w:val="24"/>
          <w:szCs w:val="24"/>
        </w:rPr>
        <w:t>по форме согласно Приложению 1 к докладу:</w:t>
      </w:r>
    </w:p>
    <w:p w:rsidR="00DB0794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Ознакомление муниципальных служащих с Положением о системе внутреннего обеспечения соответствия требованиям антимонопольного законодательства в Администрации, проведение правовой экспертизы правовых актов, подготовленных специалистами Администрации, участие в обучающих семинарах по антимонопольному комплаенсу и разное.</w:t>
      </w:r>
      <w:r w:rsidR="00DB0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855" w:rsidRPr="00DB0794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целях  изучения муниципальными служащими Администрации повторно изучить методические материалы АТК Т</w:t>
      </w:r>
      <w:r w:rsidR="00A742D4">
        <w:rPr>
          <w:rFonts w:ascii="Times New Roman" w:hAnsi="Times New Roman" w:cs="Times New Roman"/>
          <w:color w:val="000000" w:themeColor="text1"/>
          <w:sz w:val="24"/>
          <w:szCs w:val="24"/>
        </w:rPr>
        <w:t>омской области и на период  2024-2025</w:t>
      </w:r>
      <w:bookmarkStart w:id="0" w:name="_GoBack"/>
      <w:bookmarkEnd w:id="0"/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</w:t>
      </w:r>
      <w:r w:rsidR="008A76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включить в план  обучение муниципальных служащих Администрации по программе повышения квалификации: «Практика внедрения антимонопольного комплаенса и применения антимонопольного законодательства органами государственной власти и местного самоуправления».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>3. Оценка эффективности функционирования в ОМСУ антимонопольного комплаенса (таблица в приложении 2).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>4. Выводы: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Нарушений АМЗ</w:t>
      </w:r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со стороны Администрации </w:t>
      </w:r>
      <w:r w:rsidR="00CF37DB">
        <w:rPr>
          <w:rFonts w:ascii="Times New Roman" w:hAnsi="Times New Roman" w:cs="Times New Roman"/>
          <w:bCs/>
          <w:sz w:val="24"/>
          <w:szCs w:val="24"/>
        </w:rPr>
        <w:t>Киндальского</w:t>
      </w:r>
      <w:r w:rsidR="00687D6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2024</w:t>
      </w:r>
      <w:r w:rsidR="00DB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C5F">
        <w:rPr>
          <w:rFonts w:ascii="Times New Roman" w:hAnsi="Times New Roman" w:cs="Times New Roman"/>
          <w:bCs/>
          <w:sz w:val="24"/>
          <w:szCs w:val="24"/>
        </w:rPr>
        <w:t xml:space="preserve">году не выявлено. </w:t>
      </w:r>
    </w:p>
    <w:p w:rsidR="00F73855" w:rsidRPr="00F84C5F" w:rsidRDefault="00F73855" w:rsidP="00F7385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Система внутреннего обеспечения соответствия требованиям антимонопольного законодательства в Администрации</w:t>
      </w:r>
      <w:r w:rsidR="00DB0794" w:rsidRPr="00DB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7DB">
        <w:rPr>
          <w:rFonts w:ascii="Times New Roman" w:hAnsi="Times New Roman" w:cs="Times New Roman"/>
          <w:bCs/>
          <w:sz w:val="24"/>
          <w:szCs w:val="24"/>
        </w:rPr>
        <w:t>Киндальского</w:t>
      </w:r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F84C5F">
        <w:rPr>
          <w:rFonts w:ascii="Times New Roman" w:hAnsi="Times New Roman" w:cs="Times New Roman"/>
          <w:sz w:val="24"/>
          <w:szCs w:val="24"/>
        </w:rPr>
        <w:t xml:space="preserve"> внедрена успешно.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Принятые нормативные правовые акты размещены на  официальном сайте Администрации</w:t>
      </w:r>
      <w:r w:rsidR="00DB0794" w:rsidRPr="00DB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7DB">
        <w:rPr>
          <w:rFonts w:ascii="Times New Roman" w:hAnsi="Times New Roman" w:cs="Times New Roman"/>
          <w:bCs/>
          <w:sz w:val="24"/>
          <w:szCs w:val="24"/>
        </w:rPr>
        <w:t>Киндальского</w:t>
      </w:r>
      <w:r w:rsidRPr="00F84C5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Урегулировано взаимодействие муниципальных служащих и работников Администрации </w:t>
      </w:r>
      <w:r w:rsidR="00CF37DB">
        <w:rPr>
          <w:rFonts w:ascii="Times New Roman" w:hAnsi="Times New Roman" w:cs="Times New Roman"/>
          <w:bCs/>
          <w:sz w:val="24"/>
          <w:szCs w:val="24"/>
        </w:rPr>
        <w:t>Киндальского</w:t>
      </w:r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F84C5F">
        <w:rPr>
          <w:rFonts w:ascii="Times New Roman" w:hAnsi="Times New Roman" w:cs="Times New Roman"/>
          <w:sz w:val="24"/>
          <w:szCs w:val="24"/>
        </w:rPr>
        <w:t>по вопросам развития и совершенствования антимонопольного комплаенса.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В части повышения эффективности повышения функционирования антимонопольного законодательства запланирова</w:t>
      </w:r>
      <w:r w:rsidR="00687D6B">
        <w:rPr>
          <w:rFonts w:ascii="Times New Roman" w:hAnsi="Times New Roman" w:cs="Times New Roman"/>
          <w:sz w:val="24"/>
          <w:szCs w:val="24"/>
        </w:rPr>
        <w:t>ны следующие мероприятия на 2024-2025</w:t>
      </w:r>
      <w:r w:rsidRPr="00F84C5F">
        <w:rPr>
          <w:rFonts w:ascii="Times New Roman" w:hAnsi="Times New Roman" w:cs="Times New Roman"/>
          <w:sz w:val="24"/>
          <w:szCs w:val="24"/>
        </w:rPr>
        <w:t xml:space="preserve"> годы:</w:t>
      </w:r>
    </w:p>
    <w:p w:rsidR="00F73855" w:rsidRPr="00F84C5F" w:rsidRDefault="00F73855" w:rsidP="00F7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- разработать  «дорожную карту» по снижению комплаенс-рисков администрации.</w:t>
      </w:r>
    </w:p>
    <w:p w:rsidR="00F73855" w:rsidRPr="00F84C5F" w:rsidRDefault="00F73855" w:rsidP="00F7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-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 должностным лицам Администрации</w:t>
      </w:r>
      <w:r w:rsidR="00DB0794" w:rsidRPr="00DB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7DB">
        <w:rPr>
          <w:rFonts w:ascii="Times New Roman" w:hAnsi="Times New Roman" w:cs="Times New Roman"/>
          <w:bCs/>
          <w:sz w:val="24"/>
          <w:szCs w:val="24"/>
        </w:rPr>
        <w:t>Киндальского</w:t>
      </w:r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DB0794">
        <w:rPr>
          <w:rFonts w:ascii="Times New Roman" w:hAnsi="Times New Roman" w:cs="Times New Roman"/>
          <w:sz w:val="24"/>
          <w:szCs w:val="24"/>
        </w:rPr>
        <w:t>.</w:t>
      </w:r>
    </w:p>
    <w:p w:rsidR="00FD0E7E" w:rsidRDefault="00FD0E7E" w:rsidP="00F73855">
      <w:pPr>
        <w:rPr>
          <w:rFonts w:ascii="PT Astra Serif" w:hAnsi="PT Astra Serif"/>
          <w:bCs/>
          <w:sz w:val="28"/>
          <w:szCs w:val="28"/>
        </w:rPr>
      </w:pPr>
    </w:p>
    <w:p w:rsidR="00FD0E7E" w:rsidRDefault="00FD0E7E" w:rsidP="00F73855">
      <w:pPr>
        <w:rPr>
          <w:rFonts w:ascii="Times New Roman" w:hAnsi="Times New Roman" w:cs="Times New Roman"/>
          <w:bCs/>
          <w:sz w:val="24"/>
          <w:szCs w:val="24"/>
        </w:rPr>
      </w:pPr>
      <w:r w:rsidRPr="00FD0E7E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CF37DB">
        <w:rPr>
          <w:rFonts w:ascii="Times New Roman" w:hAnsi="Times New Roman" w:cs="Times New Roman"/>
          <w:bCs/>
          <w:sz w:val="24"/>
          <w:szCs w:val="24"/>
        </w:rPr>
        <w:t>Киндальского</w:t>
      </w:r>
      <w:r w:rsidRPr="00FD0E7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CF37DB">
        <w:rPr>
          <w:rFonts w:ascii="Times New Roman" w:hAnsi="Times New Roman" w:cs="Times New Roman"/>
          <w:bCs/>
          <w:sz w:val="24"/>
          <w:szCs w:val="24"/>
        </w:rPr>
        <w:t xml:space="preserve"> В.В. Волков</w:t>
      </w:r>
    </w:p>
    <w:p w:rsidR="00FD0E7E" w:rsidRDefault="00FD0E7E" w:rsidP="00F7385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Члены общественного совета:</w:t>
      </w:r>
    </w:p>
    <w:p w:rsidR="00FD0E7E" w:rsidRDefault="00A46338" w:rsidP="00F7385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 И.А. Костарева</w:t>
      </w:r>
    </w:p>
    <w:p w:rsidR="00FD0E7E" w:rsidRDefault="00A46338" w:rsidP="00F7385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 М.В. Трифонов</w:t>
      </w:r>
    </w:p>
    <w:p w:rsidR="00FD0E7E" w:rsidRPr="00FD0E7E" w:rsidRDefault="00FD0E7E" w:rsidP="00F73855">
      <w:pPr>
        <w:rPr>
          <w:rFonts w:ascii="Times New Roman" w:hAnsi="Times New Roman" w:cs="Times New Roman"/>
          <w:bCs/>
          <w:sz w:val="24"/>
          <w:szCs w:val="24"/>
        </w:rPr>
        <w:sectPr w:rsidR="00FD0E7E" w:rsidRPr="00FD0E7E" w:rsidSect="00D5450A">
          <w:pgSz w:w="11906" w:h="16838" w:code="9"/>
          <w:pgMar w:top="709" w:right="566" w:bottom="284" w:left="1134" w:header="0" w:footer="0" w:gutter="0"/>
          <w:cols w:space="708"/>
          <w:docGrid w:linePitch="360"/>
        </w:sectPr>
      </w:pPr>
    </w:p>
    <w:tbl>
      <w:tblPr>
        <w:tblStyle w:val="a5"/>
        <w:tblW w:w="154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5"/>
        <w:gridCol w:w="4930"/>
        <w:gridCol w:w="3435"/>
        <w:gridCol w:w="2835"/>
        <w:gridCol w:w="1984"/>
        <w:gridCol w:w="1734"/>
      </w:tblGrid>
      <w:tr w:rsidR="00F73855" w:rsidRPr="00800C47" w:rsidTr="00D5450A">
        <w:tc>
          <w:tcPr>
            <w:tcW w:w="154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855" w:rsidRDefault="00F73855" w:rsidP="00D5450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73855" w:rsidRDefault="00F73855" w:rsidP="00D5450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1 к докладу</w:t>
            </w:r>
          </w:p>
          <w:p w:rsidR="00F73855" w:rsidRDefault="00F73855" w:rsidP="00D5450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73855" w:rsidRPr="00D7501E" w:rsidRDefault="00F73855" w:rsidP="00D5450A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 xml:space="preserve">Мероприятия по снижению рисков нарушения антимонопольного законодательства Администрацией  </w:t>
            </w:r>
          </w:p>
          <w:p w:rsidR="00F73855" w:rsidRPr="00D7501E" w:rsidRDefault="00F73855" w:rsidP="00D5450A">
            <w:pPr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158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5824"/>
              <w:gridCol w:w="2421"/>
              <w:gridCol w:w="2876"/>
              <w:gridCol w:w="4075"/>
            </w:tblGrid>
            <w:tr w:rsidR="00F73855" w:rsidRPr="00D7501E" w:rsidTr="00D5450A">
              <w:trPr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876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4075" w:type="dxa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Информация об исполнении мероприятия</w:t>
                  </w:r>
                </w:p>
              </w:tc>
            </w:tr>
            <w:tr w:rsidR="00F73855" w:rsidRPr="00D7501E" w:rsidTr="00D5450A">
              <w:trPr>
                <w:trHeight w:val="540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ind w:right="-137"/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Разработка проектов нормативных правовых актов Администрации</w:t>
                  </w:r>
                  <w:r w:rsidR="00DB0794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CF37DB">
                    <w:rPr>
                      <w:bCs/>
                      <w:sz w:val="24"/>
                      <w:szCs w:val="24"/>
                    </w:rPr>
                    <w:t>Киндальского</w:t>
                  </w:r>
                  <w:r w:rsidR="00DB0794">
                    <w:rPr>
                      <w:bCs/>
                      <w:sz w:val="24"/>
                      <w:szCs w:val="24"/>
                    </w:rPr>
                    <w:t xml:space="preserve"> сельского поселения</w:t>
                  </w:r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 об антимонопольном комплаенсе и внесении в них изменений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:rsidR="00F73855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F73855" w:rsidRDefault="00687D6B" w:rsidP="00D545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по работе с населением</w:t>
                  </w:r>
                </w:p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специалист 1 категории (финансист)</w:t>
                  </w:r>
                </w:p>
              </w:tc>
              <w:tc>
                <w:tcPr>
                  <w:tcW w:w="4075" w:type="dxa"/>
                </w:tcPr>
                <w:p w:rsidR="00F73855" w:rsidRPr="00F84C5F" w:rsidRDefault="003A3D44" w:rsidP="00935EE5">
                  <w:pPr>
                    <w:ind w:right="-183"/>
                    <w:rPr>
                      <w:sz w:val="24"/>
                      <w:szCs w:val="24"/>
                      <w:lang w:eastAsia="ru-RU"/>
                    </w:rPr>
                  </w:pPr>
                  <w:r w:rsidRPr="003A3D44">
                    <w:rPr>
                      <w:sz w:val="24"/>
                      <w:szCs w:val="24"/>
                      <w:lang w:eastAsia="ru-RU"/>
                    </w:rPr>
                    <w:t>Постановление №13 от 14.05.2021 г. О системе внутреннего обеспечения соответствия требованиям антимонопольного законодательства (антимонопольном комплаенсе) в администрации Киндальского сельского поселения</w:t>
                  </w:r>
                </w:p>
              </w:tc>
            </w:tr>
            <w:tr w:rsidR="00F73855" w:rsidRPr="00D7501E" w:rsidTr="00D5450A">
              <w:trPr>
                <w:trHeight w:val="689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Взаимодействие с антимонопольным органом по вопросам функционирования в Администрации антимонопольного комплаенса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постоянно</w:t>
                  </w:r>
                </w:p>
              </w:tc>
            </w:tr>
            <w:tr w:rsidR="00F73855" w:rsidRPr="00D7501E" w:rsidTr="00D5450A">
              <w:trPr>
                <w:trHeight w:val="403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Подготовка доклада за отчетный год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до 25</w:t>
                  </w:r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 февраля, следующего за отчетным периодом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 xml:space="preserve">подготовлен в срок до 25 февраля, </w:t>
                  </w:r>
                </w:p>
              </w:tc>
            </w:tr>
            <w:tr w:rsidR="00F73855" w:rsidRPr="00D7501E" w:rsidTr="00D5450A">
              <w:trPr>
                <w:trHeight w:val="726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Анализ разработанных проектов нормативных правовых актов в целях выявления рисков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Риски нарушения антимонопольного законодательства разработанных проектов НПА не выявлены</w:t>
                  </w:r>
                </w:p>
              </w:tc>
            </w:tr>
            <w:tr w:rsidR="00F73855" w:rsidRPr="00D7501E" w:rsidTr="00D5450A">
              <w:trPr>
                <w:trHeight w:val="551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Организация обучения муниципальных служащих требованиям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:rsidR="00687D6B" w:rsidRDefault="00935EE5" w:rsidP="00687D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специалист </w:t>
                  </w:r>
                  <w:r w:rsidR="00687D6B">
                    <w:rPr>
                      <w:sz w:val="24"/>
                      <w:szCs w:val="24"/>
                    </w:rPr>
                    <w:t>по работе с населением</w:t>
                  </w:r>
                </w:p>
                <w:p w:rsidR="00F73855" w:rsidRDefault="00F73855" w:rsidP="00D5450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 мере необходимости</w:t>
                  </w:r>
                </w:p>
              </w:tc>
            </w:tr>
            <w:tr w:rsidR="00F73855" w:rsidRPr="00D7501E" w:rsidTr="00D5450A">
              <w:trPr>
                <w:trHeight w:val="222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Ознакомление с настоящим Положением:</w:t>
                  </w:r>
                </w:p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- муниципальных служащих;</w:t>
                  </w:r>
                </w:p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- граждан Российской Федерации при поступлении на муниципальную службу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highlight w:val="yellow"/>
                      <w:lang w:eastAsia="ru-RU"/>
                    </w:rPr>
                  </w:pPr>
                  <w:r w:rsidRPr="00F84C5F">
                    <w:rPr>
                      <w:color w:val="000000" w:themeColor="text1"/>
                      <w:lang w:eastAsia="ru-RU"/>
                    </w:rPr>
                    <w:t>постоянно</w:t>
                  </w:r>
                </w:p>
              </w:tc>
            </w:tr>
            <w:tr w:rsidR="00F73855" w:rsidRPr="00D7501E" w:rsidTr="00D5450A">
              <w:trPr>
                <w:trHeight w:val="70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Выявление конфликтов интересов в деятельности муниципальных служащих в части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постоянно,</w:t>
                  </w:r>
                </w:p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не выявлены</w:t>
                  </w:r>
                </w:p>
              </w:tc>
            </w:tr>
          </w:tbl>
          <w:p w:rsidR="00F73855" w:rsidRPr="00D7501E" w:rsidRDefault="00F73855" w:rsidP="00D5450A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73855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73855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73855" w:rsidRPr="00C41870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41870">
              <w:rPr>
                <w:rFonts w:ascii="PT Astra Serif" w:hAnsi="PT Astra Serif"/>
                <w:sz w:val="24"/>
                <w:szCs w:val="24"/>
              </w:rPr>
              <w:t>Приложение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 2 к докладу</w:t>
            </w:r>
          </w:p>
        </w:tc>
      </w:tr>
      <w:tr w:rsidR="00F73855" w:rsidRPr="00800C47" w:rsidTr="00D5450A">
        <w:tc>
          <w:tcPr>
            <w:tcW w:w="565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F73855" w:rsidRPr="00760CB8" w:rsidRDefault="00F73855" w:rsidP="00D5450A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3855" w:rsidRPr="00760CB8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Оценка</w:t>
            </w:r>
          </w:p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(балл)</w:t>
            </w:r>
          </w:p>
        </w:tc>
      </w:tr>
      <w:tr w:rsidR="00F73855" w:rsidRPr="00800C47" w:rsidTr="00D5450A"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2835" w:type="dxa"/>
            <w:vAlign w:val="center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Оценка (балл)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Факты выдачи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органу местного самоуправления пре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дупреждения и (или)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решения (предписания) по резуль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</w:tcPr>
          <w:p w:rsidR="00F73855" w:rsidRPr="00147E04" w:rsidRDefault="00113B64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531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Вступившие в законную силу решения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945A6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его должностных лиц ввиду их несоответствия антимонопольному законодательству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</w:tr>
      <w:tr w:rsidR="00F73855" w:rsidRPr="00800C47" w:rsidTr="00D5450A">
        <w:trPr>
          <w:trHeight w:val="850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824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988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Жалобы на решения, действия (бездействие)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12490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законодательством порядке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565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выполнены все мероприятия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F73855" w:rsidRPr="00800C47" w:rsidTr="00D5450A">
        <w:trPr>
          <w:trHeight w:val="690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невыполнение мероприятий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1032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проектов нормативных правовых актов и/или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433E6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147E04">
              <w:rPr>
                <w:rStyle w:val="a7"/>
                <w:rFonts w:ascii="PT Astra Serif" w:hAnsi="PT Astra Serif"/>
                <w:sz w:val="24"/>
                <w:szCs w:val="24"/>
                <w:lang w:eastAsia="ru-RU"/>
              </w:rPr>
              <w:footnoteReference w:id="1"/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общем количестве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433E6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такой процедуры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85% и более от всех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ОМСУ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F73855" w:rsidRPr="00800C47" w:rsidTr="00D5450A">
        <w:trPr>
          <w:trHeight w:val="1032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менее 85% от всех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ОМСУ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1032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проекты нормативных правовых актов органа местного самоуправления, подлежащие прохождению процедуры </w:t>
            </w:r>
            <w:r w:rsidRPr="00631CC0">
              <w:rPr>
                <w:rFonts w:ascii="PT Astra Serif" w:hAnsi="PT Astra Serif"/>
                <w:sz w:val="24"/>
                <w:szCs w:val="24"/>
                <w:lang w:eastAsia="ru-RU"/>
              </w:rPr>
              <w:t>«общественного контроля»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, отсутствуют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F73855" w:rsidRDefault="00F73855" w:rsidP="00011FA7">
      <w:pPr>
        <w:shd w:val="clear" w:color="auto" w:fill="FFFFFF"/>
        <w:spacing w:before="135" w:after="100" w:afterAutospacing="1" w:line="240" w:lineRule="auto"/>
        <w:jc w:val="both"/>
        <w:rPr>
          <w:rFonts w:ascii="PT Astra Serif" w:hAnsi="PT Astra Serif"/>
          <w:sz w:val="28"/>
          <w:szCs w:val="28"/>
        </w:rPr>
        <w:sectPr w:rsidR="00F73855" w:rsidSect="00D5450A">
          <w:pgSz w:w="16838" w:h="11906" w:orient="landscape" w:code="9"/>
          <w:pgMar w:top="709" w:right="567" w:bottom="851" w:left="425" w:header="0" w:footer="0" w:gutter="0"/>
          <w:cols w:space="708"/>
          <w:docGrid w:linePitch="360"/>
        </w:sectPr>
      </w:pPr>
    </w:p>
    <w:p w:rsidR="005E5453" w:rsidRDefault="005E5453"/>
    <w:sectPr w:rsidR="005E5453" w:rsidSect="005E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BB" w:rsidRDefault="00CB20BB" w:rsidP="00F73855">
      <w:pPr>
        <w:spacing w:after="0" w:line="240" w:lineRule="auto"/>
      </w:pPr>
      <w:r>
        <w:separator/>
      </w:r>
    </w:p>
  </w:endnote>
  <w:endnote w:type="continuationSeparator" w:id="0">
    <w:p w:rsidR="00CB20BB" w:rsidRDefault="00CB20BB" w:rsidP="00F7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BB" w:rsidRDefault="00CB20BB" w:rsidP="00F73855">
      <w:pPr>
        <w:spacing w:after="0" w:line="240" w:lineRule="auto"/>
      </w:pPr>
      <w:r>
        <w:separator/>
      </w:r>
    </w:p>
  </w:footnote>
  <w:footnote w:type="continuationSeparator" w:id="0">
    <w:p w:rsidR="00CB20BB" w:rsidRDefault="00CB20BB" w:rsidP="00F73855">
      <w:pPr>
        <w:spacing w:after="0" w:line="240" w:lineRule="auto"/>
      </w:pPr>
      <w:r>
        <w:continuationSeparator/>
      </w:r>
    </w:p>
  </w:footnote>
  <w:footnote w:id="1">
    <w:p w:rsidR="00F73855" w:rsidRPr="000818B3" w:rsidRDefault="00F73855" w:rsidP="00F73855">
      <w:pPr>
        <w:pStyle w:val="ConsPlusTitle"/>
        <w:spacing w:after="240" w:line="276" w:lineRule="auto"/>
        <w:ind w:right="-456"/>
        <w:rPr>
          <w:rFonts w:ascii="PT Astra Serif" w:hAnsi="PT Astra Serif"/>
          <w:sz w:val="24"/>
          <w:szCs w:val="24"/>
        </w:rPr>
      </w:pPr>
      <w:r w:rsidRPr="000818B3">
        <w:rPr>
          <w:rFonts w:ascii="PT Astra Serif" w:hAnsi="PT Astra Serif"/>
          <w:b w:val="0"/>
          <w:sz w:val="20"/>
        </w:rPr>
        <w:footnoteRef/>
      </w:r>
      <w:r w:rsidRPr="000818B3">
        <w:rPr>
          <w:rFonts w:ascii="PT Astra Serif" w:hAnsi="PT Astra Serif"/>
          <w:b w:val="0"/>
          <w:sz w:val="20"/>
        </w:rPr>
        <w:t xml:space="preserve"> </w:t>
      </w:r>
      <w:r w:rsidRPr="000818B3">
        <w:rPr>
          <w:rFonts w:ascii="PT Astra Serif" w:hAnsi="PT Astra Serif"/>
          <w:b w:val="0"/>
          <w:sz w:val="24"/>
          <w:szCs w:val="24"/>
        </w:rPr>
        <w:t xml:space="preserve">размещение на официальном сайте </w:t>
      </w:r>
      <w:r>
        <w:rPr>
          <w:rFonts w:ascii="PT Astra Serif" w:hAnsi="PT Astra Serif"/>
          <w:b w:val="0"/>
          <w:sz w:val="24"/>
          <w:szCs w:val="24"/>
        </w:rPr>
        <w:t>ОМСУ</w:t>
      </w:r>
      <w:r w:rsidRPr="000818B3">
        <w:rPr>
          <w:rFonts w:ascii="PT Astra Serif" w:hAnsi="PT Astra Serif"/>
          <w:b w:val="0"/>
          <w:sz w:val="24"/>
          <w:szCs w:val="24"/>
        </w:rPr>
        <w:t xml:space="preserve"> в сети «Интернет» на срок не менее 7 дней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855"/>
    <w:rsid w:val="00011FA7"/>
    <w:rsid w:val="000E4ECE"/>
    <w:rsid w:val="00113B64"/>
    <w:rsid w:val="00151793"/>
    <w:rsid w:val="00162977"/>
    <w:rsid w:val="00213384"/>
    <w:rsid w:val="003A3D44"/>
    <w:rsid w:val="003A4206"/>
    <w:rsid w:val="003D1E91"/>
    <w:rsid w:val="003E41F4"/>
    <w:rsid w:val="005A2A0D"/>
    <w:rsid w:val="005D6AE3"/>
    <w:rsid w:val="005E5453"/>
    <w:rsid w:val="00602AC4"/>
    <w:rsid w:val="00607CAB"/>
    <w:rsid w:val="00650D4A"/>
    <w:rsid w:val="00687D6B"/>
    <w:rsid w:val="00717511"/>
    <w:rsid w:val="00745B38"/>
    <w:rsid w:val="008001AA"/>
    <w:rsid w:val="0085284C"/>
    <w:rsid w:val="008A76E6"/>
    <w:rsid w:val="00935EE5"/>
    <w:rsid w:val="00A46338"/>
    <w:rsid w:val="00A742D4"/>
    <w:rsid w:val="00AB7516"/>
    <w:rsid w:val="00BD41D7"/>
    <w:rsid w:val="00C610AD"/>
    <w:rsid w:val="00CB20BB"/>
    <w:rsid w:val="00CF37DB"/>
    <w:rsid w:val="00D5450A"/>
    <w:rsid w:val="00DB0794"/>
    <w:rsid w:val="00F1333E"/>
    <w:rsid w:val="00F73855"/>
    <w:rsid w:val="00FD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F383"/>
  <w15:docId w15:val="{AAD38A3C-B9EC-4BAA-82C7-E8EFEF5F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855"/>
    <w:rPr>
      <w:b/>
      <w:bCs/>
    </w:rPr>
  </w:style>
  <w:style w:type="table" w:styleId="a5">
    <w:name w:val="Table Grid"/>
    <w:basedOn w:val="a1"/>
    <w:uiPriority w:val="59"/>
    <w:rsid w:val="00F73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F7385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F73855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F73855"/>
    <w:rPr>
      <w:vertAlign w:val="superscript"/>
    </w:rPr>
  </w:style>
  <w:style w:type="paragraph" w:customStyle="1" w:styleId="ConsPlusTitle">
    <w:name w:val="ConsPlusTitle"/>
    <w:rsid w:val="00F73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F7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Yst-t</dc:creator>
  <cp:lastModifiedBy>HP</cp:lastModifiedBy>
  <cp:revision>13</cp:revision>
  <dcterms:created xsi:type="dcterms:W3CDTF">2022-02-28T05:26:00Z</dcterms:created>
  <dcterms:modified xsi:type="dcterms:W3CDTF">2025-02-07T06:40:00Z</dcterms:modified>
</cp:coreProperties>
</file>